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8A" w:rsidRPr="00D33EFE" w:rsidRDefault="00183F8A" w:rsidP="00183F8A">
      <w:pPr>
        <w:jc w:val="center"/>
        <w:rPr>
          <w:sz w:val="36"/>
          <w:szCs w:val="36"/>
        </w:rPr>
      </w:pPr>
      <w:r>
        <w:rPr>
          <w:sz w:val="36"/>
          <w:szCs w:val="36"/>
        </w:rPr>
        <w:t>Problem Solving Terminology</w:t>
      </w:r>
    </w:p>
    <w:p w:rsidR="00183F8A" w:rsidRDefault="00183F8A" w:rsidP="00183F8A">
      <w:pPr>
        <w:rPr>
          <w:b/>
          <w:i/>
        </w:rPr>
      </w:pPr>
    </w:p>
    <w:p w:rsidR="00183F8A" w:rsidRDefault="00183F8A" w:rsidP="00183F8A">
      <w:pPr>
        <w:numPr>
          <w:ilvl w:val="0"/>
          <w:numId w:val="3"/>
        </w:numPr>
        <w:rPr>
          <w:i/>
        </w:rPr>
      </w:pPr>
      <w:r>
        <w:rPr>
          <w:b/>
          <w:i/>
        </w:rPr>
        <w:t>Coordinated Entry (CE)</w:t>
      </w:r>
      <w:r>
        <w:rPr>
          <w:i/>
        </w:rPr>
        <w:t xml:space="preserve"> - A system of homeless service providers working together and utilizing shared resources to resolve homelessness.</w:t>
      </w:r>
    </w:p>
    <w:p w:rsidR="00183F8A" w:rsidRDefault="00183F8A" w:rsidP="00183F8A">
      <w:pPr>
        <w:ind w:left="720"/>
        <w:rPr>
          <w:i/>
        </w:rPr>
      </w:pPr>
    </w:p>
    <w:p w:rsidR="00183F8A" w:rsidRDefault="00183F8A" w:rsidP="00183F8A">
      <w:pPr>
        <w:numPr>
          <w:ilvl w:val="0"/>
          <w:numId w:val="3"/>
        </w:numPr>
        <w:rPr>
          <w:i/>
        </w:rPr>
      </w:pPr>
      <w:r>
        <w:rPr>
          <w:b/>
          <w:i/>
        </w:rPr>
        <w:t>An Eligible Participant</w:t>
      </w:r>
      <w:r>
        <w:rPr>
          <w:i/>
        </w:rPr>
        <w:t xml:space="preserve"> - A person who has been homeless in San Francisco at least one night in the past seven nights. The following conditions qualify someone as homeless: sleeping on the street or other place not meant for human habitat, moving from place to place frequently, in shelter, interim, or transitional housing, experiencing violence in the place they’re staying, or trading sex for a place to stay.</w:t>
      </w:r>
    </w:p>
    <w:p w:rsidR="00183F8A" w:rsidRDefault="00183F8A" w:rsidP="00183F8A">
      <w:pPr>
        <w:ind w:left="720"/>
        <w:rPr>
          <w:i/>
        </w:rPr>
      </w:pPr>
    </w:p>
    <w:p w:rsidR="00183F8A" w:rsidRDefault="00183F8A" w:rsidP="00183F8A">
      <w:pPr>
        <w:numPr>
          <w:ilvl w:val="0"/>
          <w:numId w:val="3"/>
        </w:numPr>
        <w:rPr>
          <w:i/>
        </w:rPr>
      </w:pPr>
      <w:r>
        <w:rPr>
          <w:b/>
          <w:i/>
        </w:rPr>
        <w:t>Homeless Response System (HRS)</w:t>
      </w:r>
      <w:r>
        <w:rPr>
          <w:i/>
        </w:rPr>
        <w:t xml:space="preserve"> - The overall system of programs and city funded housing for people experiencing homelessness.</w:t>
      </w:r>
    </w:p>
    <w:p w:rsidR="00183F8A" w:rsidRDefault="00183F8A" w:rsidP="00183F8A">
      <w:pPr>
        <w:ind w:left="720"/>
        <w:rPr>
          <w:i/>
        </w:rPr>
      </w:pPr>
    </w:p>
    <w:p w:rsidR="00183F8A" w:rsidRDefault="00183F8A" w:rsidP="00183F8A">
      <w:pPr>
        <w:numPr>
          <w:ilvl w:val="0"/>
          <w:numId w:val="3"/>
        </w:numPr>
        <w:rPr>
          <w:i/>
        </w:rPr>
      </w:pPr>
      <w:r>
        <w:rPr>
          <w:b/>
          <w:i/>
        </w:rPr>
        <w:t>Problem Solving</w:t>
      </w:r>
      <w:r>
        <w:rPr>
          <w:i/>
        </w:rPr>
        <w:t xml:space="preserve"> - A strategy that diverts people from homelessness by</w:t>
      </w:r>
      <w:r w:rsidRPr="00D33EFE">
        <w:rPr>
          <w:i/>
        </w:rPr>
        <w:t xml:space="preserve"> </w:t>
      </w:r>
      <w:r>
        <w:rPr>
          <w:i/>
        </w:rPr>
        <w:t>utilizing resources within their own network to help identify immediate housing arrangements in a safe place.</w:t>
      </w:r>
    </w:p>
    <w:p w:rsidR="00183F8A" w:rsidRDefault="00183F8A" w:rsidP="00183F8A">
      <w:pPr>
        <w:ind w:left="720"/>
        <w:rPr>
          <w:i/>
        </w:rPr>
      </w:pPr>
    </w:p>
    <w:p w:rsidR="00183F8A" w:rsidRDefault="00183F8A" w:rsidP="00183F8A">
      <w:pPr>
        <w:numPr>
          <w:ilvl w:val="0"/>
          <w:numId w:val="3"/>
        </w:numPr>
        <w:rPr>
          <w:i/>
        </w:rPr>
      </w:pPr>
      <w:r>
        <w:rPr>
          <w:b/>
          <w:i/>
        </w:rPr>
        <w:t>Problem Solving Success</w:t>
      </w:r>
      <w:r>
        <w:rPr>
          <w:i/>
        </w:rPr>
        <w:t xml:space="preserve"> - When a participant spends at least one night outside of the Homeless Response System. Spending one night or more outside of the HRS might be what a person needs to exit homelessness in the intermediate or long term. Problem Solving can offer respite from the street or other homeless living situation, which could result in a brief period outside the HRS or a longer exit.</w:t>
      </w:r>
    </w:p>
    <w:p w:rsidR="00183F8A" w:rsidRDefault="00183F8A" w:rsidP="00183F8A"/>
    <w:p w:rsidR="00183F8A" w:rsidRDefault="00183F8A" w:rsidP="00183F8A">
      <w:pPr>
        <w:numPr>
          <w:ilvl w:val="0"/>
          <w:numId w:val="3"/>
        </w:numPr>
        <w:rPr>
          <w:i/>
        </w:rPr>
      </w:pPr>
      <w:r>
        <w:rPr>
          <w:b/>
          <w:i/>
        </w:rPr>
        <w:t>Department of Homelessness and Supportive Housing (HSH)</w:t>
      </w:r>
      <w:r>
        <w:rPr>
          <w:i/>
        </w:rPr>
        <w:t xml:space="preserve"> - The City and County Department running CE and leading the City’s strategic plan to end family homelessness and veteran homelessness completely, and street homelessness 50% by 2022. </w:t>
      </w:r>
    </w:p>
    <w:p w:rsidR="00183F8A" w:rsidRDefault="00183F8A" w:rsidP="00183F8A">
      <w:pPr>
        <w:ind w:left="720"/>
        <w:rPr>
          <w:i/>
        </w:rPr>
      </w:pPr>
    </w:p>
    <w:p w:rsidR="00183F8A" w:rsidRDefault="00183F8A" w:rsidP="00183F8A">
      <w:pPr>
        <w:numPr>
          <w:ilvl w:val="0"/>
          <w:numId w:val="3"/>
        </w:numPr>
        <w:rPr>
          <w:i/>
        </w:rPr>
      </w:pPr>
      <w:r>
        <w:rPr>
          <w:b/>
          <w:i/>
        </w:rPr>
        <w:t>Homeward Bound</w:t>
      </w:r>
      <w:r>
        <w:rPr>
          <w:i/>
        </w:rPr>
        <w:t xml:space="preserve"> - An HSH program designed to help reunite people experiencing homelessness with family and friends outside of San Francisco who are willing and able to offer ongoing support to end the cycle of homelessness. </w:t>
      </w:r>
    </w:p>
    <w:p w:rsidR="00183F8A" w:rsidRDefault="00183F8A" w:rsidP="00183F8A">
      <w:pPr>
        <w:rPr>
          <w:i/>
        </w:rPr>
      </w:pPr>
    </w:p>
    <w:p w:rsidR="00183F8A" w:rsidRDefault="00183F8A" w:rsidP="00183F8A">
      <w:pPr>
        <w:numPr>
          <w:ilvl w:val="0"/>
          <w:numId w:val="3"/>
        </w:numPr>
        <w:rPr>
          <w:i/>
        </w:rPr>
      </w:pPr>
      <w:r>
        <w:rPr>
          <w:b/>
          <w:i/>
        </w:rPr>
        <w:t>Adult Rapid Rehousing</w:t>
      </w:r>
      <w:r>
        <w:rPr>
          <w:i/>
        </w:rPr>
        <w:t xml:space="preserve"> - Market rate housing for single adults who qualify for CE, are employed, and earn $1200 or more per month. The program offers a 12-24 month subsidy through Brilliant Corners for qualifying individuals. </w:t>
      </w:r>
    </w:p>
    <w:p w:rsidR="00183F8A" w:rsidRDefault="00183F8A" w:rsidP="00183F8A">
      <w:pPr>
        <w:ind w:left="720"/>
        <w:rPr>
          <w:i/>
        </w:rPr>
      </w:pPr>
    </w:p>
    <w:p w:rsidR="00183F8A" w:rsidRDefault="00183F8A" w:rsidP="00183F8A">
      <w:pPr>
        <w:numPr>
          <w:ilvl w:val="0"/>
          <w:numId w:val="3"/>
        </w:numPr>
        <w:rPr>
          <w:i/>
        </w:rPr>
      </w:pPr>
      <w:r>
        <w:rPr>
          <w:b/>
          <w:i/>
        </w:rPr>
        <w:t>Access Points</w:t>
      </w:r>
      <w:r>
        <w:rPr>
          <w:i/>
        </w:rPr>
        <w:t xml:space="preserve"> - Run by various non-profits contracted through CE, Access Points are places where families, youth, and single adults can receive Problem Solving and other City and County housing resources.</w:t>
      </w:r>
    </w:p>
    <w:p w:rsidR="00183F8A" w:rsidRDefault="00183F8A" w:rsidP="00183F8A">
      <w:pPr>
        <w:ind w:left="720"/>
        <w:rPr>
          <w:i/>
        </w:rPr>
      </w:pPr>
    </w:p>
    <w:p w:rsidR="00183F8A" w:rsidRDefault="00183F8A" w:rsidP="00183F8A">
      <w:pPr>
        <w:numPr>
          <w:ilvl w:val="0"/>
          <w:numId w:val="3"/>
        </w:numPr>
        <w:rPr>
          <w:i/>
        </w:rPr>
      </w:pPr>
      <w:r>
        <w:rPr>
          <w:b/>
          <w:i/>
        </w:rPr>
        <w:t>Flex Fund</w:t>
      </w:r>
      <w:r>
        <w:rPr>
          <w:i/>
        </w:rPr>
        <w:t xml:space="preserve"> - Monetary resources that can be used to reinforce Problem Solving resolutions. </w:t>
      </w:r>
    </w:p>
    <w:p w:rsidR="00183F8A" w:rsidRDefault="00183F8A" w:rsidP="00183F8A"/>
    <w:p w:rsidR="00183F8A" w:rsidRDefault="00183F8A" w:rsidP="00183F8A"/>
    <w:p w:rsidR="007B1DFF" w:rsidRPr="00FC7F28" w:rsidRDefault="00FC7F28" w:rsidP="007B1DFF">
      <w:pPr>
        <w:jc w:val="center"/>
        <w:rPr>
          <w:b/>
          <w:sz w:val="36"/>
          <w:szCs w:val="36"/>
        </w:rPr>
      </w:pPr>
      <w:r>
        <w:rPr>
          <w:b/>
          <w:sz w:val="36"/>
          <w:szCs w:val="36"/>
        </w:rPr>
        <w:lastRenderedPageBreak/>
        <w:t xml:space="preserve">Problem Solving </w:t>
      </w:r>
      <w:r w:rsidRPr="00FC7F28">
        <w:rPr>
          <w:b/>
          <w:sz w:val="36"/>
          <w:szCs w:val="36"/>
        </w:rPr>
        <w:t>Take-</w:t>
      </w:r>
      <w:proofErr w:type="spellStart"/>
      <w:r w:rsidRPr="00FC7F28">
        <w:rPr>
          <w:b/>
          <w:sz w:val="36"/>
          <w:szCs w:val="36"/>
        </w:rPr>
        <w:t>A</w:t>
      </w:r>
      <w:bookmarkStart w:id="0" w:name="_GoBack"/>
      <w:bookmarkEnd w:id="0"/>
      <w:r w:rsidRPr="00FC7F28">
        <w:rPr>
          <w:b/>
          <w:sz w:val="36"/>
          <w:szCs w:val="36"/>
        </w:rPr>
        <w:t>ways</w:t>
      </w:r>
      <w:proofErr w:type="spellEnd"/>
    </w:p>
    <w:p w:rsidR="00377D7C" w:rsidRDefault="00DF3B31" w:rsidP="00FC7F28">
      <w:pPr>
        <w:jc w:val="center"/>
      </w:pPr>
    </w:p>
    <w:p w:rsidR="00FC7F28" w:rsidRDefault="00FC7F28" w:rsidP="00FC7F28">
      <w:pPr>
        <w:jc w:val="center"/>
      </w:pPr>
    </w:p>
    <w:p w:rsidR="00FC7F28" w:rsidRDefault="00FC7F28" w:rsidP="00FC7F28">
      <w:pPr>
        <w:jc w:val="center"/>
      </w:pPr>
    </w:p>
    <w:p w:rsidR="007B1DFF" w:rsidRPr="00FC7F28" w:rsidRDefault="007B1DFF" w:rsidP="00FC7F28">
      <w:pPr>
        <w:jc w:val="center"/>
        <w:rPr>
          <w:b/>
          <w:sz w:val="24"/>
          <w:szCs w:val="24"/>
        </w:rPr>
      </w:pPr>
      <w:r w:rsidRPr="00FC7F28">
        <w:rPr>
          <w:b/>
          <w:sz w:val="24"/>
          <w:szCs w:val="24"/>
        </w:rPr>
        <w:t>Cornerstone Questions</w:t>
      </w:r>
    </w:p>
    <w:p w:rsidR="00FC7F28" w:rsidRPr="00FC7F28" w:rsidRDefault="00FC7F28">
      <w:pPr>
        <w:rPr>
          <w:b/>
          <w:sz w:val="24"/>
          <w:szCs w:val="24"/>
        </w:rPr>
      </w:pPr>
    </w:p>
    <w:p w:rsidR="00FC7F28" w:rsidRPr="00FC7F28" w:rsidRDefault="00FC7F28" w:rsidP="00FC7F28">
      <w:pPr>
        <w:pStyle w:val="ListParagraph"/>
        <w:numPr>
          <w:ilvl w:val="0"/>
          <w:numId w:val="1"/>
        </w:numPr>
        <w:rPr>
          <w:sz w:val="24"/>
          <w:szCs w:val="24"/>
        </w:rPr>
      </w:pPr>
      <w:r w:rsidRPr="00FC7F28">
        <w:rPr>
          <w:sz w:val="24"/>
          <w:szCs w:val="24"/>
        </w:rPr>
        <w:t>Why is our system prioritizing Problem Solving?</w:t>
      </w:r>
      <w:r>
        <w:rPr>
          <w:sz w:val="24"/>
          <w:szCs w:val="24"/>
        </w:rPr>
        <w:br/>
      </w:r>
    </w:p>
    <w:p w:rsidR="00FC7F28" w:rsidRDefault="00FC7F28" w:rsidP="00FC7F28">
      <w:pPr>
        <w:numPr>
          <w:ilvl w:val="0"/>
          <w:numId w:val="1"/>
        </w:numPr>
        <w:rPr>
          <w:sz w:val="24"/>
          <w:szCs w:val="24"/>
        </w:rPr>
      </w:pPr>
      <w:r w:rsidRPr="00FC7F28">
        <w:rPr>
          <w:sz w:val="24"/>
          <w:szCs w:val="24"/>
        </w:rPr>
        <w:t>What is Problem Solving?</w:t>
      </w:r>
    </w:p>
    <w:p w:rsidR="00FC7F28" w:rsidRPr="00FC7F28" w:rsidRDefault="00FC7F28" w:rsidP="00FC7F28">
      <w:pPr>
        <w:rPr>
          <w:sz w:val="24"/>
          <w:szCs w:val="24"/>
        </w:rPr>
      </w:pPr>
    </w:p>
    <w:p w:rsidR="00FC7F28" w:rsidRDefault="00FC7F28" w:rsidP="00FC7F28">
      <w:pPr>
        <w:numPr>
          <w:ilvl w:val="0"/>
          <w:numId w:val="1"/>
        </w:numPr>
        <w:rPr>
          <w:sz w:val="24"/>
          <w:szCs w:val="24"/>
        </w:rPr>
      </w:pPr>
      <w:r w:rsidRPr="00FC7F28">
        <w:rPr>
          <w:sz w:val="24"/>
          <w:szCs w:val="24"/>
        </w:rPr>
        <w:t>How does Problem Solving work?</w:t>
      </w:r>
    </w:p>
    <w:p w:rsidR="00FC7F28" w:rsidRPr="00FC7F28" w:rsidRDefault="00FC7F28" w:rsidP="00FC7F28">
      <w:pPr>
        <w:rPr>
          <w:sz w:val="24"/>
          <w:szCs w:val="24"/>
        </w:rPr>
      </w:pPr>
    </w:p>
    <w:p w:rsidR="00FC7F28" w:rsidRPr="00FC7F28" w:rsidRDefault="00FC7F28" w:rsidP="00FC7F28">
      <w:pPr>
        <w:numPr>
          <w:ilvl w:val="0"/>
          <w:numId w:val="1"/>
        </w:numPr>
        <w:rPr>
          <w:sz w:val="24"/>
          <w:szCs w:val="24"/>
        </w:rPr>
      </w:pPr>
      <w:r w:rsidRPr="00FC7F28">
        <w:rPr>
          <w:sz w:val="24"/>
          <w:szCs w:val="24"/>
        </w:rPr>
        <w:t>How do you conclude Problem Solving?</w:t>
      </w:r>
    </w:p>
    <w:p w:rsidR="00FC7F28" w:rsidRDefault="00FC7F28">
      <w:pPr>
        <w:rPr>
          <w:sz w:val="24"/>
          <w:szCs w:val="24"/>
        </w:rPr>
      </w:pPr>
    </w:p>
    <w:p w:rsidR="00FC7F28" w:rsidRPr="00FC7F28" w:rsidRDefault="00FC7F28">
      <w:pPr>
        <w:rPr>
          <w:sz w:val="24"/>
          <w:szCs w:val="24"/>
        </w:rPr>
      </w:pPr>
    </w:p>
    <w:p w:rsidR="007B1DFF" w:rsidRPr="00FC7F28" w:rsidRDefault="007B1DFF" w:rsidP="00FC7F28">
      <w:pPr>
        <w:jc w:val="center"/>
        <w:rPr>
          <w:b/>
          <w:sz w:val="24"/>
          <w:szCs w:val="24"/>
        </w:rPr>
      </w:pPr>
      <w:r w:rsidRPr="00FC7F28">
        <w:rPr>
          <w:b/>
          <w:sz w:val="24"/>
          <w:szCs w:val="24"/>
        </w:rPr>
        <w:t>Principles of Problem Solving</w:t>
      </w:r>
    </w:p>
    <w:p w:rsidR="00FC7F28" w:rsidRDefault="00FC7F28">
      <w:pPr>
        <w:rPr>
          <w:sz w:val="24"/>
          <w:szCs w:val="24"/>
        </w:rPr>
      </w:pPr>
    </w:p>
    <w:tbl>
      <w:tblPr>
        <w:tblStyle w:val="TableGrid"/>
        <w:tblW w:w="0" w:type="auto"/>
        <w:tblLook w:val="04A0" w:firstRow="1" w:lastRow="0" w:firstColumn="1" w:lastColumn="0" w:noHBand="0" w:noVBand="1"/>
      </w:tblPr>
      <w:tblGrid>
        <w:gridCol w:w="5125"/>
        <w:gridCol w:w="4225"/>
      </w:tblGrid>
      <w:tr w:rsidR="00FC7F28" w:rsidTr="00FC7F28">
        <w:trPr>
          <w:trHeight w:val="2537"/>
        </w:trPr>
        <w:tc>
          <w:tcPr>
            <w:tcW w:w="5125" w:type="dxa"/>
            <w:vAlign w:val="center"/>
          </w:tcPr>
          <w:p w:rsidR="00FC7F28" w:rsidRDefault="00FC7F28" w:rsidP="00FC7F28">
            <w:pPr>
              <w:jc w:val="center"/>
              <w:rPr>
                <w:sz w:val="24"/>
                <w:szCs w:val="24"/>
              </w:rPr>
            </w:pPr>
            <w:r w:rsidRPr="00FC7F28">
              <w:rPr>
                <w:i/>
              </w:rPr>
              <w:t>Principle 1: Transparency</w:t>
            </w:r>
            <w:r>
              <w:t xml:space="preserve"> - There is not enough City funded housing to end most people’s homelessness. Reliance on local affordable housing pathways is not viable for most homeless residents. Delivering this message with honesty and engaging in discussions about realistic housing options will promote self-identified solutions through personal networks.</w:t>
            </w:r>
          </w:p>
        </w:tc>
        <w:tc>
          <w:tcPr>
            <w:tcW w:w="4225" w:type="dxa"/>
            <w:vAlign w:val="center"/>
          </w:tcPr>
          <w:p w:rsidR="00FC7F28" w:rsidRDefault="00FC7F28" w:rsidP="00FC7F28">
            <w:pPr>
              <w:jc w:val="center"/>
              <w:rPr>
                <w:sz w:val="24"/>
                <w:szCs w:val="24"/>
              </w:rPr>
            </w:pPr>
            <w:r w:rsidRPr="00FC7F28">
              <w:rPr>
                <w:i/>
                <w:color w:val="000000"/>
              </w:rPr>
              <w:t>Principle 2: Creativity</w:t>
            </w:r>
            <w:r w:rsidRPr="00064E14">
              <w:rPr>
                <w:color w:val="000000"/>
              </w:rPr>
              <w:t xml:space="preserve"> - Problem Solving challenges the belief that valid housing is exclusively in permanent settings. Long conversations that are open ended and the values of Principal 1 will lead to resolutions that may surprise the Problem Solver and even the participant.</w:t>
            </w:r>
          </w:p>
        </w:tc>
      </w:tr>
    </w:tbl>
    <w:p w:rsidR="007B1DFF" w:rsidRDefault="007B1DFF">
      <w:pPr>
        <w:rPr>
          <w:sz w:val="24"/>
          <w:szCs w:val="24"/>
        </w:rPr>
      </w:pPr>
    </w:p>
    <w:p w:rsidR="00FC7F28" w:rsidRDefault="00FC7F28">
      <w:pPr>
        <w:rPr>
          <w:sz w:val="24"/>
          <w:szCs w:val="24"/>
        </w:rPr>
      </w:pPr>
    </w:p>
    <w:p w:rsidR="00FC7F28" w:rsidRPr="00FC7F28" w:rsidRDefault="00FC7F28">
      <w:pPr>
        <w:rPr>
          <w:sz w:val="24"/>
          <w:szCs w:val="24"/>
        </w:rPr>
      </w:pPr>
    </w:p>
    <w:p w:rsidR="007B1DFF" w:rsidRDefault="007B1DFF" w:rsidP="00FC7F28">
      <w:pPr>
        <w:jc w:val="center"/>
        <w:rPr>
          <w:b/>
          <w:sz w:val="24"/>
          <w:szCs w:val="24"/>
        </w:rPr>
      </w:pPr>
      <w:r w:rsidRPr="00FC7F28">
        <w:rPr>
          <w:b/>
          <w:sz w:val="24"/>
          <w:szCs w:val="24"/>
        </w:rPr>
        <w:t xml:space="preserve">Goals for </w:t>
      </w:r>
      <w:r w:rsidR="00FC7F28" w:rsidRPr="00FC7F28">
        <w:rPr>
          <w:b/>
          <w:sz w:val="24"/>
          <w:szCs w:val="24"/>
        </w:rPr>
        <w:t>Participant Leaving Conversation</w:t>
      </w:r>
    </w:p>
    <w:p w:rsidR="00FC7F28" w:rsidRPr="00FC7F28" w:rsidRDefault="00FC7F28" w:rsidP="00FC7F28">
      <w:pPr>
        <w:jc w:val="center"/>
        <w:rPr>
          <w:b/>
          <w:sz w:val="24"/>
          <w:szCs w:val="24"/>
        </w:rPr>
      </w:pPr>
    </w:p>
    <w:p w:rsidR="00FC7F28" w:rsidRDefault="00FC7F28" w:rsidP="00FC7F28">
      <w:pPr>
        <w:pStyle w:val="ListParagraph"/>
        <w:numPr>
          <w:ilvl w:val="0"/>
          <w:numId w:val="2"/>
        </w:numPr>
        <w:rPr>
          <w:sz w:val="24"/>
          <w:szCs w:val="24"/>
        </w:rPr>
      </w:pPr>
      <w:r w:rsidRPr="00FC7F28">
        <w:rPr>
          <w:sz w:val="24"/>
          <w:szCs w:val="24"/>
        </w:rPr>
        <w:t>Participants have a realistic understanding of the housing situation in San Francisco</w:t>
      </w:r>
    </w:p>
    <w:p w:rsidR="00FC7F28" w:rsidRPr="00FC7F28" w:rsidRDefault="00FC7F28" w:rsidP="00FC7F28">
      <w:pPr>
        <w:rPr>
          <w:sz w:val="24"/>
          <w:szCs w:val="24"/>
        </w:rPr>
      </w:pPr>
    </w:p>
    <w:p w:rsidR="00FC7F28" w:rsidRPr="00FC7F28" w:rsidRDefault="00FC7F28" w:rsidP="00FC7F28">
      <w:pPr>
        <w:pStyle w:val="ListParagraph"/>
        <w:numPr>
          <w:ilvl w:val="0"/>
          <w:numId w:val="2"/>
        </w:numPr>
        <w:rPr>
          <w:sz w:val="24"/>
          <w:szCs w:val="24"/>
        </w:rPr>
      </w:pPr>
      <w:r w:rsidRPr="00FC7F28">
        <w:rPr>
          <w:sz w:val="24"/>
          <w:szCs w:val="24"/>
        </w:rPr>
        <w:t>Participants recognize that the most effective way to resolve homelessness is through their own networks and resources</w:t>
      </w:r>
    </w:p>
    <w:p w:rsidR="00FC7F28" w:rsidRPr="00FC7F28" w:rsidRDefault="00FC7F28" w:rsidP="00FC7F28">
      <w:pPr>
        <w:rPr>
          <w:sz w:val="24"/>
          <w:szCs w:val="24"/>
        </w:rPr>
      </w:pPr>
    </w:p>
    <w:p w:rsidR="00FC7F28" w:rsidRDefault="00FC7F28" w:rsidP="00FC7F28">
      <w:pPr>
        <w:pStyle w:val="ListParagraph"/>
        <w:numPr>
          <w:ilvl w:val="0"/>
          <w:numId w:val="2"/>
        </w:numPr>
        <w:rPr>
          <w:sz w:val="24"/>
          <w:szCs w:val="24"/>
        </w:rPr>
      </w:pPr>
      <w:r w:rsidRPr="00FC7F28">
        <w:rPr>
          <w:sz w:val="24"/>
          <w:szCs w:val="24"/>
        </w:rPr>
        <w:t>Problem Solving is the new City standard for how we approach housing</w:t>
      </w:r>
    </w:p>
    <w:p w:rsidR="00FC7F28" w:rsidRPr="00FC7F28" w:rsidRDefault="00FC7F28" w:rsidP="00FC7F28">
      <w:pPr>
        <w:rPr>
          <w:sz w:val="24"/>
          <w:szCs w:val="24"/>
        </w:rPr>
      </w:pPr>
    </w:p>
    <w:p w:rsidR="00FC7F28" w:rsidRPr="00FC7F28" w:rsidRDefault="00FC7F28" w:rsidP="00FC7F28">
      <w:pPr>
        <w:pStyle w:val="ListParagraph"/>
        <w:numPr>
          <w:ilvl w:val="0"/>
          <w:numId w:val="2"/>
        </w:numPr>
        <w:rPr>
          <w:sz w:val="24"/>
          <w:szCs w:val="24"/>
        </w:rPr>
      </w:pPr>
      <w:r w:rsidRPr="00FC7F28">
        <w:rPr>
          <w:sz w:val="24"/>
          <w:szCs w:val="24"/>
        </w:rPr>
        <w:t>Problem Solving is a constant resource - give invitation to come back</w:t>
      </w:r>
    </w:p>
    <w:p w:rsidR="00FC7F28" w:rsidRDefault="00FC7F28">
      <w:pPr>
        <w:rPr>
          <w:b/>
          <w:sz w:val="24"/>
          <w:szCs w:val="24"/>
        </w:rPr>
      </w:pPr>
    </w:p>
    <w:p w:rsidR="00FC7F28" w:rsidRDefault="00FC7F28">
      <w:pPr>
        <w:rPr>
          <w:b/>
          <w:sz w:val="24"/>
          <w:szCs w:val="24"/>
        </w:rPr>
      </w:pPr>
    </w:p>
    <w:p w:rsidR="00FC7F28" w:rsidRDefault="00FC7F28">
      <w:pPr>
        <w:rPr>
          <w:b/>
          <w:sz w:val="24"/>
          <w:szCs w:val="24"/>
        </w:rPr>
      </w:pPr>
    </w:p>
    <w:p w:rsidR="00FC7F28" w:rsidRDefault="00FC7F28">
      <w:pPr>
        <w:rPr>
          <w:b/>
          <w:sz w:val="24"/>
          <w:szCs w:val="24"/>
        </w:rPr>
      </w:pPr>
    </w:p>
    <w:p w:rsidR="00FC7F28" w:rsidRDefault="00FC7F28">
      <w:pPr>
        <w:rPr>
          <w:b/>
          <w:sz w:val="24"/>
          <w:szCs w:val="24"/>
        </w:rPr>
      </w:pPr>
    </w:p>
    <w:p w:rsidR="00FC7F28" w:rsidRDefault="00FC7F28">
      <w:pPr>
        <w:rPr>
          <w:b/>
          <w:sz w:val="24"/>
          <w:szCs w:val="24"/>
        </w:rPr>
      </w:pPr>
    </w:p>
    <w:p w:rsidR="00FC7F28" w:rsidRDefault="00FC7F28">
      <w:pPr>
        <w:rPr>
          <w:b/>
          <w:sz w:val="24"/>
          <w:szCs w:val="24"/>
        </w:rPr>
      </w:pPr>
    </w:p>
    <w:p w:rsidR="00FC7F28" w:rsidRPr="00FC7F28" w:rsidRDefault="00FC7F28">
      <w:pPr>
        <w:rPr>
          <w:b/>
          <w:sz w:val="24"/>
          <w:szCs w:val="24"/>
        </w:rPr>
      </w:pPr>
    </w:p>
    <w:p w:rsidR="007B1DFF" w:rsidRPr="00FC7F28" w:rsidRDefault="007B1DFF" w:rsidP="00FC7F28">
      <w:pPr>
        <w:jc w:val="center"/>
        <w:rPr>
          <w:b/>
          <w:sz w:val="32"/>
          <w:szCs w:val="32"/>
        </w:rPr>
      </w:pPr>
      <w:r w:rsidRPr="00FC7F28">
        <w:rPr>
          <w:b/>
          <w:sz w:val="32"/>
          <w:szCs w:val="32"/>
        </w:rPr>
        <w:t>Docs needed for Flex Fund</w:t>
      </w:r>
    </w:p>
    <w:p w:rsidR="007B1DFF" w:rsidRDefault="007B1DFF"/>
    <w:tbl>
      <w:tblPr>
        <w:tblStyle w:val="TableGrid"/>
        <w:tblW w:w="0" w:type="auto"/>
        <w:tblLook w:val="04A0" w:firstRow="1" w:lastRow="0" w:firstColumn="1" w:lastColumn="0" w:noHBand="0" w:noVBand="1"/>
      </w:tblPr>
      <w:tblGrid>
        <w:gridCol w:w="1558"/>
        <w:gridCol w:w="1497"/>
        <w:gridCol w:w="1619"/>
        <w:gridCol w:w="1558"/>
        <w:gridCol w:w="1559"/>
        <w:gridCol w:w="1559"/>
      </w:tblGrid>
      <w:tr w:rsidR="007B1DFF" w:rsidTr="007B1DFF">
        <w:trPr>
          <w:trHeight w:val="1340"/>
        </w:trPr>
        <w:tc>
          <w:tcPr>
            <w:tcW w:w="1558" w:type="dxa"/>
          </w:tcPr>
          <w:p w:rsidR="007B1DFF" w:rsidRPr="00FC7F28" w:rsidRDefault="007B1DFF">
            <w:pPr>
              <w:rPr>
                <w:sz w:val="24"/>
                <w:szCs w:val="24"/>
              </w:rPr>
            </w:pPr>
          </w:p>
        </w:tc>
        <w:tc>
          <w:tcPr>
            <w:tcW w:w="1497" w:type="dxa"/>
            <w:shd w:val="clear" w:color="auto" w:fill="C9C9C9" w:themeFill="accent3" w:themeFillTint="99"/>
            <w:vAlign w:val="center"/>
          </w:tcPr>
          <w:p w:rsidR="007B1DFF" w:rsidRPr="00FC7F28" w:rsidRDefault="007B1DFF" w:rsidP="007B1DFF">
            <w:pPr>
              <w:jc w:val="center"/>
              <w:rPr>
                <w:b/>
                <w:sz w:val="24"/>
                <w:szCs w:val="24"/>
              </w:rPr>
            </w:pPr>
            <w:r w:rsidRPr="00FC7F28">
              <w:rPr>
                <w:b/>
                <w:sz w:val="24"/>
                <w:szCs w:val="24"/>
              </w:rPr>
              <w:t>W9</w:t>
            </w:r>
          </w:p>
        </w:tc>
        <w:tc>
          <w:tcPr>
            <w:tcW w:w="1619" w:type="dxa"/>
            <w:shd w:val="clear" w:color="auto" w:fill="C9C9C9" w:themeFill="accent3" w:themeFillTint="99"/>
            <w:vAlign w:val="center"/>
          </w:tcPr>
          <w:p w:rsidR="007B1DFF" w:rsidRPr="00FC7F28" w:rsidRDefault="007B1DFF" w:rsidP="007B1DFF">
            <w:pPr>
              <w:jc w:val="center"/>
              <w:rPr>
                <w:b/>
                <w:sz w:val="24"/>
                <w:szCs w:val="24"/>
              </w:rPr>
            </w:pPr>
            <w:r w:rsidRPr="00FC7F28">
              <w:rPr>
                <w:b/>
                <w:sz w:val="24"/>
                <w:szCs w:val="24"/>
              </w:rPr>
              <w:t>Lease</w:t>
            </w:r>
          </w:p>
        </w:tc>
        <w:tc>
          <w:tcPr>
            <w:tcW w:w="1558" w:type="dxa"/>
            <w:shd w:val="clear" w:color="auto" w:fill="C9C9C9" w:themeFill="accent3" w:themeFillTint="99"/>
            <w:vAlign w:val="center"/>
          </w:tcPr>
          <w:p w:rsidR="007B1DFF" w:rsidRPr="00FC7F28" w:rsidRDefault="007B1DFF" w:rsidP="007B1DFF">
            <w:pPr>
              <w:jc w:val="center"/>
              <w:rPr>
                <w:b/>
                <w:sz w:val="24"/>
                <w:szCs w:val="24"/>
              </w:rPr>
            </w:pPr>
            <w:r w:rsidRPr="00FC7F28">
              <w:rPr>
                <w:b/>
                <w:sz w:val="24"/>
                <w:szCs w:val="24"/>
              </w:rPr>
              <w:t>ECS Intent to Rent</w:t>
            </w:r>
          </w:p>
        </w:tc>
        <w:tc>
          <w:tcPr>
            <w:tcW w:w="1559" w:type="dxa"/>
            <w:shd w:val="clear" w:color="auto" w:fill="C9C9C9" w:themeFill="accent3" w:themeFillTint="99"/>
            <w:vAlign w:val="center"/>
          </w:tcPr>
          <w:p w:rsidR="007B1DFF" w:rsidRPr="00FC7F28" w:rsidRDefault="007B1DFF" w:rsidP="007B1DFF">
            <w:pPr>
              <w:jc w:val="center"/>
              <w:rPr>
                <w:b/>
                <w:sz w:val="24"/>
                <w:szCs w:val="24"/>
              </w:rPr>
            </w:pPr>
            <w:r w:rsidRPr="00FC7F28">
              <w:rPr>
                <w:b/>
                <w:sz w:val="24"/>
                <w:szCs w:val="24"/>
              </w:rPr>
              <w:t>ECS Financial Assistance Agreement</w:t>
            </w:r>
          </w:p>
        </w:tc>
        <w:tc>
          <w:tcPr>
            <w:tcW w:w="1559" w:type="dxa"/>
            <w:shd w:val="clear" w:color="auto" w:fill="C9C9C9" w:themeFill="accent3" w:themeFillTint="99"/>
            <w:vAlign w:val="center"/>
          </w:tcPr>
          <w:p w:rsidR="007B1DFF" w:rsidRPr="00FC7F28" w:rsidRDefault="007B1DFF" w:rsidP="007B1DFF">
            <w:pPr>
              <w:jc w:val="center"/>
              <w:rPr>
                <w:b/>
                <w:sz w:val="24"/>
                <w:szCs w:val="24"/>
              </w:rPr>
            </w:pPr>
            <w:r w:rsidRPr="00FC7F28">
              <w:rPr>
                <w:b/>
                <w:sz w:val="24"/>
                <w:szCs w:val="24"/>
              </w:rPr>
              <w:t>Receipt or Invoice</w:t>
            </w:r>
          </w:p>
        </w:tc>
      </w:tr>
      <w:tr w:rsidR="007B1DFF" w:rsidTr="00FC7F28">
        <w:tc>
          <w:tcPr>
            <w:tcW w:w="1558" w:type="dxa"/>
            <w:vAlign w:val="center"/>
          </w:tcPr>
          <w:p w:rsidR="007B1DFF" w:rsidRPr="00FC7F28" w:rsidRDefault="007B1DFF" w:rsidP="007B1DFF">
            <w:pPr>
              <w:jc w:val="center"/>
              <w:rPr>
                <w:b/>
                <w:sz w:val="24"/>
                <w:szCs w:val="24"/>
              </w:rPr>
            </w:pPr>
            <w:r w:rsidRPr="00FC7F28">
              <w:rPr>
                <w:b/>
                <w:sz w:val="24"/>
                <w:szCs w:val="24"/>
              </w:rPr>
              <w:t>Rent by lease over $600</w:t>
            </w:r>
          </w:p>
        </w:tc>
        <w:tc>
          <w:tcPr>
            <w:tcW w:w="1497" w:type="dxa"/>
            <w:shd w:val="clear" w:color="auto" w:fill="00B050"/>
          </w:tcPr>
          <w:p w:rsidR="007B1DFF" w:rsidRPr="00FC7F28" w:rsidRDefault="007B1DFF">
            <w:pPr>
              <w:rPr>
                <w:sz w:val="24"/>
                <w:szCs w:val="24"/>
              </w:rPr>
            </w:pPr>
          </w:p>
        </w:tc>
        <w:tc>
          <w:tcPr>
            <w:tcW w:w="1619" w:type="dxa"/>
            <w:shd w:val="clear" w:color="auto" w:fill="00B050"/>
          </w:tcPr>
          <w:p w:rsidR="007B1DFF" w:rsidRPr="00FC7F28" w:rsidRDefault="007B1DFF">
            <w:pPr>
              <w:rPr>
                <w:sz w:val="24"/>
                <w:szCs w:val="24"/>
              </w:rPr>
            </w:pPr>
          </w:p>
        </w:tc>
        <w:tc>
          <w:tcPr>
            <w:tcW w:w="1558" w:type="dxa"/>
            <w:shd w:val="clear" w:color="auto" w:fill="FF000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FF0000"/>
          </w:tcPr>
          <w:p w:rsidR="007B1DFF" w:rsidRPr="00FC7F28" w:rsidRDefault="007B1DFF">
            <w:pPr>
              <w:rPr>
                <w:sz w:val="24"/>
                <w:szCs w:val="24"/>
              </w:rPr>
            </w:pPr>
          </w:p>
        </w:tc>
      </w:tr>
      <w:tr w:rsidR="007B1DFF" w:rsidTr="00FC7F28">
        <w:tc>
          <w:tcPr>
            <w:tcW w:w="1558" w:type="dxa"/>
            <w:vAlign w:val="center"/>
          </w:tcPr>
          <w:p w:rsidR="007B1DFF" w:rsidRPr="00FC7F28" w:rsidRDefault="007B1DFF" w:rsidP="007B1DFF">
            <w:pPr>
              <w:jc w:val="center"/>
              <w:rPr>
                <w:b/>
                <w:sz w:val="24"/>
                <w:szCs w:val="24"/>
              </w:rPr>
            </w:pPr>
            <w:r w:rsidRPr="00FC7F28">
              <w:rPr>
                <w:b/>
                <w:sz w:val="24"/>
                <w:szCs w:val="24"/>
              </w:rPr>
              <w:t>Rent by lease under $600</w:t>
            </w:r>
          </w:p>
        </w:tc>
        <w:tc>
          <w:tcPr>
            <w:tcW w:w="1497" w:type="dxa"/>
            <w:shd w:val="clear" w:color="auto" w:fill="FF0000"/>
          </w:tcPr>
          <w:p w:rsidR="007B1DFF" w:rsidRPr="00FC7F28" w:rsidRDefault="007B1DFF">
            <w:pPr>
              <w:rPr>
                <w:sz w:val="24"/>
                <w:szCs w:val="24"/>
              </w:rPr>
            </w:pPr>
          </w:p>
        </w:tc>
        <w:tc>
          <w:tcPr>
            <w:tcW w:w="1619" w:type="dxa"/>
            <w:shd w:val="clear" w:color="auto" w:fill="00B050"/>
          </w:tcPr>
          <w:p w:rsidR="007B1DFF" w:rsidRPr="00FC7F28" w:rsidRDefault="007B1DFF">
            <w:pPr>
              <w:rPr>
                <w:sz w:val="24"/>
                <w:szCs w:val="24"/>
              </w:rPr>
            </w:pPr>
          </w:p>
        </w:tc>
        <w:tc>
          <w:tcPr>
            <w:tcW w:w="1558" w:type="dxa"/>
            <w:shd w:val="clear" w:color="auto" w:fill="FF000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FF0000"/>
          </w:tcPr>
          <w:p w:rsidR="007B1DFF" w:rsidRPr="00FC7F28" w:rsidRDefault="007B1DFF">
            <w:pPr>
              <w:rPr>
                <w:sz w:val="24"/>
                <w:szCs w:val="24"/>
              </w:rPr>
            </w:pPr>
          </w:p>
        </w:tc>
      </w:tr>
      <w:tr w:rsidR="007B1DFF" w:rsidTr="00FC7F28">
        <w:trPr>
          <w:trHeight w:val="1007"/>
        </w:trPr>
        <w:tc>
          <w:tcPr>
            <w:tcW w:w="1558" w:type="dxa"/>
            <w:vAlign w:val="center"/>
          </w:tcPr>
          <w:p w:rsidR="007B1DFF" w:rsidRPr="00FC7F28" w:rsidRDefault="007B1DFF" w:rsidP="007B1DFF">
            <w:pPr>
              <w:jc w:val="center"/>
              <w:rPr>
                <w:b/>
                <w:sz w:val="24"/>
                <w:szCs w:val="24"/>
              </w:rPr>
            </w:pPr>
            <w:r w:rsidRPr="00FC7F28">
              <w:rPr>
                <w:b/>
                <w:sz w:val="24"/>
                <w:szCs w:val="24"/>
              </w:rPr>
              <w:t>Rent without lease over $600</w:t>
            </w:r>
          </w:p>
        </w:tc>
        <w:tc>
          <w:tcPr>
            <w:tcW w:w="1497" w:type="dxa"/>
            <w:shd w:val="clear" w:color="auto" w:fill="00B050"/>
          </w:tcPr>
          <w:p w:rsidR="007B1DFF" w:rsidRPr="00FC7F28" w:rsidRDefault="007B1DFF">
            <w:pPr>
              <w:rPr>
                <w:sz w:val="24"/>
                <w:szCs w:val="24"/>
              </w:rPr>
            </w:pPr>
          </w:p>
        </w:tc>
        <w:tc>
          <w:tcPr>
            <w:tcW w:w="1619" w:type="dxa"/>
            <w:shd w:val="clear" w:color="auto" w:fill="FF0000"/>
          </w:tcPr>
          <w:p w:rsidR="007B1DFF" w:rsidRPr="00FC7F28" w:rsidRDefault="007B1DFF">
            <w:pPr>
              <w:rPr>
                <w:sz w:val="24"/>
                <w:szCs w:val="24"/>
              </w:rPr>
            </w:pPr>
          </w:p>
        </w:tc>
        <w:tc>
          <w:tcPr>
            <w:tcW w:w="1558" w:type="dxa"/>
            <w:shd w:val="clear" w:color="auto" w:fill="00B05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FF0000"/>
          </w:tcPr>
          <w:p w:rsidR="007B1DFF" w:rsidRPr="00FC7F28" w:rsidRDefault="007B1DFF">
            <w:pPr>
              <w:rPr>
                <w:sz w:val="24"/>
                <w:szCs w:val="24"/>
              </w:rPr>
            </w:pPr>
          </w:p>
        </w:tc>
      </w:tr>
      <w:tr w:rsidR="007B1DFF" w:rsidTr="00FC7F28">
        <w:tc>
          <w:tcPr>
            <w:tcW w:w="1558" w:type="dxa"/>
            <w:vAlign w:val="center"/>
          </w:tcPr>
          <w:p w:rsidR="007B1DFF" w:rsidRPr="00FC7F28" w:rsidRDefault="007B1DFF" w:rsidP="007B1DFF">
            <w:pPr>
              <w:jc w:val="center"/>
              <w:rPr>
                <w:b/>
                <w:sz w:val="24"/>
                <w:szCs w:val="24"/>
              </w:rPr>
            </w:pPr>
            <w:r w:rsidRPr="00FC7F28">
              <w:rPr>
                <w:b/>
                <w:sz w:val="24"/>
                <w:szCs w:val="24"/>
              </w:rPr>
              <w:t>Rent without lease under $600</w:t>
            </w:r>
          </w:p>
        </w:tc>
        <w:tc>
          <w:tcPr>
            <w:tcW w:w="1497" w:type="dxa"/>
            <w:shd w:val="clear" w:color="auto" w:fill="FF0000"/>
          </w:tcPr>
          <w:p w:rsidR="007B1DFF" w:rsidRPr="00FC7F28" w:rsidRDefault="007B1DFF">
            <w:pPr>
              <w:rPr>
                <w:sz w:val="24"/>
                <w:szCs w:val="24"/>
              </w:rPr>
            </w:pPr>
          </w:p>
        </w:tc>
        <w:tc>
          <w:tcPr>
            <w:tcW w:w="1619" w:type="dxa"/>
            <w:shd w:val="clear" w:color="auto" w:fill="FF0000"/>
          </w:tcPr>
          <w:p w:rsidR="007B1DFF" w:rsidRPr="00FC7F28" w:rsidRDefault="007B1DFF">
            <w:pPr>
              <w:rPr>
                <w:sz w:val="24"/>
                <w:szCs w:val="24"/>
              </w:rPr>
            </w:pPr>
          </w:p>
        </w:tc>
        <w:tc>
          <w:tcPr>
            <w:tcW w:w="1558" w:type="dxa"/>
            <w:shd w:val="clear" w:color="auto" w:fill="00B05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FF0000"/>
          </w:tcPr>
          <w:p w:rsidR="007B1DFF" w:rsidRPr="00FC7F28" w:rsidRDefault="007B1DFF">
            <w:pPr>
              <w:rPr>
                <w:sz w:val="24"/>
                <w:szCs w:val="24"/>
              </w:rPr>
            </w:pPr>
          </w:p>
        </w:tc>
      </w:tr>
      <w:tr w:rsidR="007B1DFF" w:rsidTr="00FC7F28">
        <w:tc>
          <w:tcPr>
            <w:tcW w:w="1558" w:type="dxa"/>
            <w:vAlign w:val="center"/>
          </w:tcPr>
          <w:p w:rsidR="007B1DFF" w:rsidRPr="00FC7F28" w:rsidRDefault="007B1DFF" w:rsidP="007B1DFF">
            <w:pPr>
              <w:jc w:val="center"/>
              <w:rPr>
                <w:b/>
                <w:sz w:val="24"/>
                <w:szCs w:val="24"/>
              </w:rPr>
            </w:pPr>
            <w:r w:rsidRPr="00FC7F28">
              <w:rPr>
                <w:b/>
                <w:sz w:val="24"/>
                <w:szCs w:val="24"/>
              </w:rPr>
              <w:t>Third Party Vendor</w:t>
            </w:r>
          </w:p>
        </w:tc>
        <w:tc>
          <w:tcPr>
            <w:tcW w:w="1497" w:type="dxa"/>
            <w:shd w:val="clear" w:color="auto" w:fill="FF0000"/>
          </w:tcPr>
          <w:p w:rsidR="007B1DFF" w:rsidRPr="00FC7F28" w:rsidRDefault="007B1DFF">
            <w:pPr>
              <w:rPr>
                <w:sz w:val="24"/>
                <w:szCs w:val="24"/>
              </w:rPr>
            </w:pPr>
          </w:p>
        </w:tc>
        <w:tc>
          <w:tcPr>
            <w:tcW w:w="1619" w:type="dxa"/>
            <w:shd w:val="clear" w:color="auto" w:fill="FF0000"/>
          </w:tcPr>
          <w:p w:rsidR="007B1DFF" w:rsidRPr="00FC7F28" w:rsidRDefault="007B1DFF">
            <w:pPr>
              <w:rPr>
                <w:sz w:val="24"/>
                <w:szCs w:val="24"/>
              </w:rPr>
            </w:pPr>
          </w:p>
        </w:tc>
        <w:tc>
          <w:tcPr>
            <w:tcW w:w="1558" w:type="dxa"/>
            <w:shd w:val="clear" w:color="auto" w:fill="FF000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r>
      <w:tr w:rsidR="007B1DFF" w:rsidTr="00FC7F28">
        <w:trPr>
          <w:trHeight w:val="458"/>
        </w:trPr>
        <w:tc>
          <w:tcPr>
            <w:tcW w:w="1558" w:type="dxa"/>
            <w:vAlign w:val="center"/>
          </w:tcPr>
          <w:p w:rsidR="007B1DFF" w:rsidRPr="00FC7F28" w:rsidRDefault="007B1DFF" w:rsidP="007B1DFF">
            <w:pPr>
              <w:jc w:val="center"/>
              <w:rPr>
                <w:b/>
                <w:sz w:val="24"/>
                <w:szCs w:val="24"/>
              </w:rPr>
            </w:pPr>
            <w:r w:rsidRPr="00FC7F28">
              <w:rPr>
                <w:b/>
                <w:sz w:val="24"/>
                <w:szCs w:val="24"/>
              </w:rPr>
              <w:t>Gift Card</w:t>
            </w:r>
          </w:p>
        </w:tc>
        <w:tc>
          <w:tcPr>
            <w:tcW w:w="1497" w:type="dxa"/>
            <w:shd w:val="clear" w:color="auto" w:fill="FF0000"/>
          </w:tcPr>
          <w:p w:rsidR="007B1DFF" w:rsidRPr="00FC7F28" w:rsidRDefault="007B1DFF">
            <w:pPr>
              <w:rPr>
                <w:sz w:val="24"/>
                <w:szCs w:val="24"/>
              </w:rPr>
            </w:pPr>
          </w:p>
        </w:tc>
        <w:tc>
          <w:tcPr>
            <w:tcW w:w="1619" w:type="dxa"/>
            <w:shd w:val="clear" w:color="auto" w:fill="FF0000"/>
          </w:tcPr>
          <w:p w:rsidR="007B1DFF" w:rsidRPr="00FC7F28" w:rsidRDefault="007B1DFF">
            <w:pPr>
              <w:rPr>
                <w:sz w:val="24"/>
                <w:szCs w:val="24"/>
              </w:rPr>
            </w:pPr>
          </w:p>
        </w:tc>
        <w:tc>
          <w:tcPr>
            <w:tcW w:w="1558" w:type="dxa"/>
            <w:shd w:val="clear" w:color="auto" w:fill="FF0000"/>
          </w:tcPr>
          <w:p w:rsidR="007B1DFF" w:rsidRPr="00FC7F28" w:rsidRDefault="007B1DFF">
            <w:pPr>
              <w:rPr>
                <w:sz w:val="24"/>
                <w:szCs w:val="24"/>
              </w:rPr>
            </w:pPr>
          </w:p>
        </w:tc>
        <w:tc>
          <w:tcPr>
            <w:tcW w:w="1559" w:type="dxa"/>
            <w:shd w:val="clear" w:color="auto" w:fill="00B050"/>
          </w:tcPr>
          <w:p w:rsidR="007B1DFF" w:rsidRPr="00FC7F28" w:rsidRDefault="007B1DFF">
            <w:pPr>
              <w:rPr>
                <w:sz w:val="24"/>
                <w:szCs w:val="24"/>
              </w:rPr>
            </w:pPr>
          </w:p>
        </w:tc>
        <w:tc>
          <w:tcPr>
            <w:tcW w:w="1559" w:type="dxa"/>
            <w:shd w:val="clear" w:color="auto" w:fill="FF0000"/>
          </w:tcPr>
          <w:p w:rsidR="007B1DFF" w:rsidRPr="00FC7F28" w:rsidRDefault="007B1DFF">
            <w:pPr>
              <w:rPr>
                <w:sz w:val="24"/>
                <w:szCs w:val="24"/>
              </w:rPr>
            </w:pPr>
          </w:p>
        </w:tc>
      </w:tr>
    </w:tbl>
    <w:p w:rsidR="007B1DFF" w:rsidRDefault="007B1DFF"/>
    <w:sectPr w:rsidR="007B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18F"/>
    <w:multiLevelType w:val="hybridMultilevel"/>
    <w:tmpl w:val="BD32B51C"/>
    <w:lvl w:ilvl="0" w:tplc="944EEC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44227"/>
    <w:multiLevelType w:val="multilevel"/>
    <w:tmpl w:val="F21E222C"/>
    <w:lvl w:ilvl="0">
      <w:start w:val="1"/>
      <w:numFmt w:val="decimal"/>
      <w:lvlText w:val="%1)"/>
      <w:lvlJc w:val="left"/>
      <w:pPr>
        <w:ind w:left="720" w:hanging="360"/>
      </w:pPr>
      <w:rPr>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C70043"/>
    <w:multiLevelType w:val="multilevel"/>
    <w:tmpl w:val="74266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FF"/>
    <w:rsid w:val="00183F8A"/>
    <w:rsid w:val="00596EBA"/>
    <w:rsid w:val="005B49F7"/>
    <w:rsid w:val="007B1DFF"/>
    <w:rsid w:val="00A41246"/>
    <w:rsid w:val="00DF3B31"/>
    <w:rsid w:val="00F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FECC-B762-4E6D-9C00-29B861A5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1DF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F28"/>
    <w:pPr>
      <w:ind w:left="720"/>
      <w:contextualSpacing/>
    </w:pPr>
  </w:style>
  <w:style w:type="paragraph" w:styleId="BalloonText">
    <w:name w:val="Balloon Text"/>
    <w:basedOn w:val="Normal"/>
    <w:link w:val="BalloonTextChar"/>
    <w:uiPriority w:val="99"/>
    <w:semiHidden/>
    <w:unhideWhenUsed/>
    <w:rsid w:val="00183F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Steinberger</dc:creator>
  <cp:keywords/>
  <dc:description/>
  <cp:lastModifiedBy>ANDY SCHEER</cp:lastModifiedBy>
  <cp:revision>2</cp:revision>
  <cp:lastPrinted>2019-05-13T16:48:00Z</cp:lastPrinted>
  <dcterms:created xsi:type="dcterms:W3CDTF">2019-05-14T17:05:00Z</dcterms:created>
  <dcterms:modified xsi:type="dcterms:W3CDTF">2019-05-14T17:05:00Z</dcterms:modified>
</cp:coreProperties>
</file>